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27" w:rsidRPr="00696322" w:rsidRDefault="00FE2727" w:rsidP="00FE2727">
      <w:pPr>
        <w:tabs>
          <w:tab w:val="left" w:pos="3060"/>
        </w:tabs>
        <w:ind w:right="-49"/>
        <w:rPr>
          <w:sz w:val="24"/>
          <w:szCs w:val="24"/>
        </w:rPr>
      </w:pPr>
      <w:r w:rsidRPr="00696322">
        <w:rPr>
          <w:sz w:val="24"/>
          <w:szCs w:val="24"/>
        </w:rPr>
        <w:t xml:space="preserve">     </w:t>
      </w:r>
    </w:p>
    <w:p w:rsidR="00FE2727" w:rsidRDefault="00FE2727" w:rsidP="00FE272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PROCESSO SELETIVO PARA PORTADOR DE DIPLOMA 2016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–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</w:t>
      </w:r>
      <w:proofErr w:type="gramEnd"/>
    </w:p>
    <w:p w:rsidR="00FE2727" w:rsidRPr="00696322" w:rsidRDefault="00FE2727" w:rsidP="00FE272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EDITAL FERA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Nº 02. 11 DE JANEIRO DE 2016</w:t>
      </w:r>
    </w:p>
    <w:p w:rsidR="00FE2727" w:rsidRPr="00696322" w:rsidRDefault="00FE2727" w:rsidP="00FE2727">
      <w:pPr>
        <w:pStyle w:val="Recuodecorpodetexto"/>
        <w:rPr>
          <w:sz w:val="24"/>
          <w:szCs w:val="24"/>
        </w:rPr>
      </w:pPr>
    </w:p>
    <w:p w:rsidR="00FE2727" w:rsidRPr="00696322" w:rsidRDefault="00FE2727" w:rsidP="00FE2727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A Diretora Geral da </w:t>
      </w:r>
      <w:r w:rsidRPr="00696322">
        <w:rPr>
          <w:rFonts w:eastAsia="Calibri"/>
          <w:b/>
          <w:color w:val="000000"/>
          <w:sz w:val="24"/>
          <w:szCs w:val="24"/>
          <w:lang w:eastAsia="en-US"/>
        </w:rPr>
        <w:t>Faculdade de Ensino Regional Alternativa - FERA</w:t>
      </w: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, no uso de suas atribuições legais, divulga, através desse Edital, </w:t>
      </w:r>
      <w:r>
        <w:rPr>
          <w:rFonts w:eastAsia="Calibri"/>
          <w:color w:val="000000"/>
          <w:sz w:val="24"/>
          <w:szCs w:val="24"/>
          <w:lang w:eastAsia="en-US"/>
        </w:rPr>
        <w:t>que estarão abertas as inscrições ao processo seletivo para Portador de Diploma com admissão prevista, exclusivamente, para o segundo semestre de 2016</w:t>
      </w:r>
      <w:r w:rsidRPr="0069632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E2727" w:rsidRPr="00696322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E2727" w:rsidRDefault="00FE2727" w:rsidP="00FE2727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>–</w:t>
      </w:r>
      <w:proofErr w:type="gramStart"/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>DAS INSCRIÇÕES</w:t>
      </w:r>
    </w:p>
    <w:p w:rsidR="00FE2727" w:rsidRDefault="00FE2727" w:rsidP="00FE2727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 período das inscrições para Portador de Diploma é de 11/02/2016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à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11/ 02/2016.</w:t>
      </w:r>
    </w:p>
    <w:p w:rsidR="00FE2727" w:rsidRDefault="00FE2727" w:rsidP="00FE2727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Taxa de inscrição:</w:t>
      </w:r>
    </w:p>
    <w:p w:rsidR="00FE2727" w:rsidRDefault="00FE2727" w:rsidP="00FE2727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 Portador de diploma – isento da taxa de inscrição.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5332A">
        <w:rPr>
          <w:rFonts w:eastAsia="Calibri"/>
          <w:b/>
          <w:bCs/>
          <w:color w:val="000000"/>
          <w:sz w:val="24"/>
          <w:szCs w:val="24"/>
          <w:lang w:eastAsia="en-US"/>
        </w:rPr>
        <w:t>1.3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Só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é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permitida uma inscrição por candidato.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1.4 Local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das inscrições: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ab/>
        <w:t>- As inscrições deverão ser efetivadas na secretaria acadêmica da FERA.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 DOS CURSOS DE VAGAS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2.1 Os cursos para os quais estão sendo oferecidas as vagas, para o preenchimento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no </w:t>
      </w:r>
      <w:r w:rsidR="000C7B66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 de 2016, para Portador de Diploma, são os seguintes: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276"/>
        <w:gridCol w:w="1984"/>
        <w:gridCol w:w="2694"/>
      </w:tblGrid>
      <w:tr w:rsidR="00FE2727" w:rsidTr="009371B2">
        <w:trPr>
          <w:trHeight w:val="812"/>
        </w:trPr>
        <w:tc>
          <w:tcPr>
            <w:tcW w:w="2127" w:type="dxa"/>
          </w:tcPr>
          <w:p w:rsidR="00FE2727" w:rsidRDefault="00FE2727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Pedagogia</w:t>
            </w:r>
          </w:p>
        </w:tc>
        <w:tc>
          <w:tcPr>
            <w:tcW w:w="2977" w:type="dxa"/>
          </w:tcPr>
          <w:p w:rsidR="00FE2727" w:rsidRDefault="00FE2727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Licenciatura</w:t>
            </w:r>
          </w:p>
          <w:p w:rsidR="00FE2727" w:rsidRDefault="00FE2727" w:rsidP="009371B2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E2727" w:rsidRDefault="00FE2727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E2727" w:rsidRDefault="00FE2727" w:rsidP="009371B2">
            <w:pPr>
              <w:autoSpaceDE w:val="0"/>
              <w:autoSpaceDN w:val="0"/>
              <w:adjustRightInd w:val="0"/>
              <w:ind w:left="52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20</w:t>
            </w:r>
          </w:p>
          <w:p w:rsidR="00FE2727" w:rsidRDefault="00FE2727" w:rsidP="009371B2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E2727" w:rsidRDefault="00FE2727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E2727" w:rsidRDefault="00FE2727" w:rsidP="009371B2">
            <w:pPr>
              <w:autoSpaceDE w:val="0"/>
              <w:autoSpaceDN w:val="0"/>
              <w:adjustRightInd w:val="0"/>
              <w:ind w:left="63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</w:t>
            </w:r>
          </w:p>
          <w:p w:rsidR="00FE2727" w:rsidRDefault="00FE2727" w:rsidP="009371B2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E2727" w:rsidRDefault="00FE2727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FE2727" w:rsidRDefault="00FE2727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R$ 170,00</w:t>
            </w:r>
          </w:p>
        </w:tc>
      </w:tr>
      <w:tr w:rsidR="00FE2727" w:rsidTr="009371B2">
        <w:trPr>
          <w:trHeight w:val="1019"/>
        </w:trPr>
        <w:tc>
          <w:tcPr>
            <w:tcW w:w="2127" w:type="dxa"/>
          </w:tcPr>
          <w:p w:rsidR="00FE2727" w:rsidRDefault="00FE2727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Educação Física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977" w:type="dxa"/>
          </w:tcPr>
          <w:p w:rsidR="00FE2727" w:rsidRDefault="00FE2727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Bacharelado.</w:t>
            </w:r>
          </w:p>
        </w:tc>
        <w:tc>
          <w:tcPr>
            <w:tcW w:w="1276" w:type="dxa"/>
          </w:tcPr>
          <w:p w:rsidR="00FE2727" w:rsidRDefault="00FE2727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20.</w:t>
            </w:r>
          </w:p>
        </w:tc>
        <w:tc>
          <w:tcPr>
            <w:tcW w:w="1984" w:type="dxa"/>
          </w:tcPr>
          <w:p w:rsidR="00FE2727" w:rsidRDefault="00FE2727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anos.</w:t>
            </w:r>
          </w:p>
        </w:tc>
        <w:tc>
          <w:tcPr>
            <w:tcW w:w="2694" w:type="dxa"/>
          </w:tcPr>
          <w:p w:rsidR="00FE2727" w:rsidRPr="0075332A" w:rsidRDefault="00FE2727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R$ 550,00</w:t>
            </w:r>
          </w:p>
          <w:p w:rsidR="00FE2727" w:rsidRDefault="00FE2727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E2727" w:rsidRDefault="00FE2727" w:rsidP="00FE2727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 DOCUMENTOS EXIGIDOS NA INSCRIÇÃO: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3.1 PARA O PROCESSO DE PORTADOR DE DIPLOMA – no ato do requerimento, deverá o candidato apresentar original e cópia dos seguintes documentos: 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a) Histórico escolar, contendo as disciplinas cursadas pelo requerente com o número de créditos, carga horária e os dados do Concurso Vestibular, tais como data, classificação, total ge</w:t>
      </w:r>
      <w:bookmarkStart w:id="0" w:name="_GoBack"/>
      <w:bookmarkEnd w:id="0"/>
      <w:r>
        <w:rPr>
          <w:rFonts w:eastAsia="Calibri"/>
          <w:b/>
          <w:bCs/>
          <w:color w:val="000000"/>
          <w:sz w:val="24"/>
          <w:szCs w:val="24"/>
          <w:lang w:eastAsia="en-US"/>
        </w:rPr>
        <w:t>ral de pontos, disciplinas e informação sobre a situação do ENADE.</w:t>
      </w:r>
    </w:p>
    <w:p w:rsidR="00FE2727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b) Diploma, declaração de autenticidade de diploma, documentação que comprove o reconhecimento do curso e do estabelecimento de origem, ou seja, um documento que comprove ser reconhecido o curso e a instituição de Ensino Superior na qual o candidato graduou-se exceto para egressos da FERA.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c) Programas das disciplinas cursadas, autenticidade pela instituição de origem.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d) Diploma de nível superior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e) Tabela de conversão (equivalência de conceitos), para o sistema decimal, quando o sistema da instituição de origem for traduzido em conceitos.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f) </w:t>
      </w:r>
      <w:r w:rsidRPr="006311E5">
        <w:rPr>
          <w:rFonts w:ascii="Arial" w:hAnsi="Arial" w:cs="Arial"/>
          <w:sz w:val="24"/>
          <w:szCs w:val="24"/>
        </w:rPr>
        <w:t xml:space="preserve">CPF, comprovante de votação relativo à última eleição realizada ou do Certificado Quitação </w:t>
      </w:r>
      <w:proofErr w:type="gramStart"/>
      <w:r w:rsidRPr="006311E5">
        <w:rPr>
          <w:rFonts w:ascii="Arial" w:hAnsi="Arial" w:cs="Arial"/>
          <w:sz w:val="24"/>
          <w:szCs w:val="24"/>
        </w:rPr>
        <w:t>Eleitoral ,</w:t>
      </w:r>
      <w:proofErr w:type="gramEnd"/>
      <w:r w:rsidRPr="006311E5">
        <w:rPr>
          <w:rFonts w:ascii="Arial" w:hAnsi="Arial" w:cs="Arial"/>
          <w:sz w:val="24"/>
          <w:szCs w:val="24"/>
        </w:rPr>
        <w:t>para brasileiro com idade igualou superior a 18 anos ,Certificado Militar , Certificando de Nascimento ou Casamento,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 xml:space="preserve">Cédula de identidade, Histórico, Certificando do ensino </w:t>
      </w:r>
      <w:r w:rsidRPr="006311E5">
        <w:rPr>
          <w:rFonts w:ascii="Arial" w:hAnsi="Arial" w:cs="Arial"/>
          <w:sz w:val="24"/>
          <w:szCs w:val="24"/>
        </w:rPr>
        <w:lastRenderedPageBreak/>
        <w:t>Médio(ou equivalente) devidamente chancelado pela secretaria de educação e Comprovante de Residência atualizando.</w:t>
      </w: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E2727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FE2727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3.2 PARA O PROCESSO SELETIVO DE PORTADOR DE DIPLOMA DE OUTRAS INSTITUIÇÕES:</w:t>
      </w:r>
    </w:p>
    <w:p w:rsidR="00FE2727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No ato do requerimento, deverá o candidato apresentar original dos seguintes documentos:</w:t>
      </w:r>
    </w:p>
    <w:p w:rsidR="00FE2727" w:rsidRPr="00C1027B" w:rsidRDefault="00FE2727" w:rsidP="00FE2727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1027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Histórico escolar, contendo as disciplinas cursadas pelo requerente com o número de créditos, carga horária e os dados do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processo seletivo, (forma de ingresso, data, classificação, total de pontos e disciplinas)</w:t>
      </w:r>
      <w:r w:rsidRPr="00C1027B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FE2727" w:rsidRDefault="00FE2727" w:rsidP="00FE2727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Ato de autorização de reconhecimento do curso e da instituição de origem.</w:t>
      </w:r>
    </w:p>
    <w:p w:rsidR="00FE2727" w:rsidRPr="00DD4BA1" w:rsidRDefault="00FE2727" w:rsidP="00FE272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>3. DOCUMENTOS EXIGIDOS NA INSCRIÇÃO:</w:t>
      </w:r>
    </w:p>
    <w:p w:rsidR="00FE2727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3.1 PARA O PROCESSO SELETIVO DE PORTADOR DE DIPLOMA DA FERA -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 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>no ato do requerimento, deverá o candidato apresentar original dos seguintes documentos:</w:t>
      </w:r>
    </w:p>
    <w:p w:rsidR="00FE2727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 HISTORICO ESCOLAR</w:t>
      </w:r>
    </w:p>
    <w:p w:rsidR="00FE2727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3.2 PARA O PROCESSO SELETIVO DE PORTADOR DE DIPLOMA DE OUTRAS INSTITUIÇÕES – no ato do requerimento, deverá o candidato apresentar original dos seguintes documentos:</w:t>
      </w:r>
    </w:p>
    <w:p w:rsidR="00FE2727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a) Histórico Escolar contendo as disciplinas cursadas com o numero de créditos, carga horaria e os dados do processo seletivo.</w:t>
      </w:r>
    </w:p>
    <w:p w:rsidR="00FE2727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b) Ato de autorização e reconhecimento do curso e da instituição de origem</w:t>
      </w:r>
    </w:p>
    <w:p w:rsidR="00FE2727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c) Programas de disciplinas cursadas, autenticadas pela instituição de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origem</w:t>
      </w:r>
      <w:proofErr w:type="gramEnd"/>
    </w:p>
    <w:p w:rsidR="00FE2727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d) Diploma de nível superior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6311E5">
        <w:rPr>
          <w:rFonts w:ascii="Arial" w:hAnsi="Arial" w:cs="Arial"/>
          <w:b/>
          <w:sz w:val="24"/>
          <w:szCs w:val="24"/>
        </w:rPr>
        <w:t>)</w:t>
      </w:r>
      <w:r w:rsidRPr="006311E5">
        <w:rPr>
          <w:rFonts w:ascii="Arial" w:hAnsi="Arial" w:cs="Arial"/>
          <w:sz w:val="24"/>
          <w:szCs w:val="24"/>
        </w:rPr>
        <w:t xml:space="preserve"> Programa das disciplinas cursadas pelo requerimento (originais</w:t>
      </w:r>
      <w:proofErr w:type="gramStart"/>
      <w:r w:rsidRPr="006311E5">
        <w:rPr>
          <w:rFonts w:ascii="Arial" w:hAnsi="Arial" w:cs="Arial"/>
          <w:sz w:val="24"/>
          <w:szCs w:val="24"/>
        </w:rPr>
        <w:t>),</w:t>
      </w:r>
      <w:proofErr w:type="gramEnd"/>
      <w:r w:rsidRPr="006311E5">
        <w:rPr>
          <w:rFonts w:ascii="Arial" w:hAnsi="Arial" w:cs="Arial"/>
          <w:sz w:val="24"/>
          <w:szCs w:val="24"/>
        </w:rPr>
        <w:t>devidamente autenticados pela instituição de origem ,exceto para egressos de Centro Universitário Tiradentes;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6311E5">
        <w:rPr>
          <w:rFonts w:ascii="Arial" w:hAnsi="Arial" w:cs="Arial"/>
          <w:b/>
          <w:sz w:val="24"/>
          <w:szCs w:val="24"/>
        </w:rPr>
        <w:t>)</w:t>
      </w:r>
      <w:r w:rsidRPr="006311E5">
        <w:rPr>
          <w:rFonts w:ascii="Arial" w:hAnsi="Arial" w:cs="Arial"/>
          <w:sz w:val="24"/>
          <w:szCs w:val="24"/>
        </w:rPr>
        <w:t xml:space="preserve"> Tabela da conversão (tabela de equivalência dos conceitos) para o sistema decimal,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quando o sistema de aprovação for traduzido em conceitos,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devidamente autenticada pela instituição de origem.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6311E5">
        <w:rPr>
          <w:rFonts w:ascii="Arial" w:hAnsi="Arial" w:cs="Arial"/>
          <w:b/>
          <w:sz w:val="24"/>
          <w:szCs w:val="24"/>
        </w:rPr>
        <w:t>)</w:t>
      </w:r>
      <w:r w:rsidRPr="006311E5">
        <w:rPr>
          <w:rFonts w:ascii="Arial" w:hAnsi="Arial" w:cs="Arial"/>
          <w:sz w:val="24"/>
          <w:szCs w:val="24"/>
        </w:rPr>
        <w:t xml:space="preserve"> CPF, comprovante de votação relativo à última eleição realizada ou do Certificado Quitação </w:t>
      </w:r>
      <w:proofErr w:type="gramStart"/>
      <w:r w:rsidRPr="006311E5">
        <w:rPr>
          <w:rFonts w:ascii="Arial" w:hAnsi="Arial" w:cs="Arial"/>
          <w:sz w:val="24"/>
          <w:szCs w:val="24"/>
        </w:rPr>
        <w:t>Eleitoral ,</w:t>
      </w:r>
      <w:proofErr w:type="gramEnd"/>
      <w:r w:rsidRPr="006311E5">
        <w:rPr>
          <w:rFonts w:ascii="Arial" w:hAnsi="Arial" w:cs="Arial"/>
          <w:sz w:val="24"/>
          <w:szCs w:val="24"/>
        </w:rPr>
        <w:t>para brasileiro com idade igualou superior a 18 anos ,Certificado Militar , Certificando de Nascimento ou Casamento,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Cédula de identidade, Histórico, Certificando do ensino Médio(ou equivalente) devidamente chancelado pela secretaria de educação e Comprovante de Residência atualizando.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11E5">
        <w:rPr>
          <w:rFonts w:ascii="Arial" w:hAnsi="Arial" w:cs="Arial"/>
          <w:b/>
          <w:sz w:val="24"/>
          <w:szCs w:val="24"/>
        </w:rPr>
        <w:t>Obs</w:t>
      </w:r>
      <w:proofErr w:type="spellEnd"/>
      <w:r w:rsidRPr="006311E5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6311E5"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Caso a documentação seja do exterior, a mesma terá que ser traduzida para língua portuguesa,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por tradutor juramentado.</w:t>
      </w:r>
    </w:p>
    <w:p w:rsidR="00FE2727" w:rsidRPr="006311E5" w:rsidRDefault="00FE2727" w:rsidP="00FE2727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4. SELEÇÃO</w:t>
      </w:r>
    </w:p>
    <w:p w:rsidR="00FE2727" w:rsidRDefault="00FE2727" w:rsidP="00FE2727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4.1 PARA PROCESSO DE </w:t>
      </w:r>
      <w:r>
        <w:rPr>
          <w:rFonts w:ascii="Arial" w:hAnsi="Arial" w:cs="Arial"/>
          <w:b/>
          <w:sz w:val="24"/>
          <w:szCs w:val="24"/>
        </w:rPr>
        <w:t>PORTADOR DE DIPLOMADE OUTRAS INSTITUIÇÕES</w:t>
      </w:r>
      <w:proofErr w:type="gramStart"/>
      <w:r w:rsidRPr="006311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consiste</w:t>
      </w:r>
      <w:proofErr w:type="gramEnd"/>
      <w:r w:rsidRPr="006311E5">
        <w:rPr>
          <w:rFonts w:ascii="Arial" w:hAnsi="Arial" w:cs="Arial"/>
          <w:sz w:val="24"/>
          <w:szCs w:val="24"/>
        </w:rPr>
        <w:t xml:space="preserve"> de análise do Histórico </w:t>
      </w:r>
      <w:r>
        <w:rPr>
          <w:rFonts w:ascii="Arial" w:hAnsi="Arial" w:cs="Arial"/>
          <w:sz w:val="24"/>
          <w:szCs w:val="24"/>
        </w:rPr>
        <w:t xml:space="preserve">e dos programas de disciplina cursadas pelo candidato em outra instituição, através do </w:t>
      </w:r>
      <w:proofErr w:type="spellStart"/>
      <w:r>
        <w:rPr>
          <w:rFonts w:ascii="Arial" w:hAnsi="Arial" w:cs="Arial"/>
          <w:sz w:val="24"/>
          <w:szCs w:val="24"/>
        </w:rPr>
        <w:t>confrontamento</w:t>
      </w:r>
      <w:proofErr w:type="spellEnd"/>
      <w:r>
        <w:rPr>
          <w:rFonts w:ascii="Arial" w:hAnsi="Arial" w:cs="Arial"/>
          <w:sz w:val="24"/>
          <w:szCs w:val="24"/>
        </w:rPr>
        <w:t xml:space="preserve"> das mesmas e aquelas ofertadas pela FERA. O aproveitamento apenas ocorrerá quando houver 70% de compatibilidade de créditos e conteúdos. </w:t>
      </w:r>
    </w:p>
    <w:p w:rsidR="00FE2727" w:rsidRPr="006311E5" w:rsidRDefault="00FE2727" w:rsidP="00FE2727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5. CRITÉRIOS DE CLASSIFICAÇÃO 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5.1</w:t>
      </w:r>
      <w:r w:rsidRPr="006311E5">
        <w:rPr>
          <w:rFonts w:ascii="Arial" w:hAnsi="Arial" w:cs="Arial"/>
          <w:sz w:val="24"/>
          <w:szCs w:val="24"/>
        </w:rPr>
        <w:t>. Maior número de disciplinas aproveitadas no curso pleiteado;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5.2</w:t>
      </w:r>
      <w:r w:rsidRPr="006311E5">
        <w:rPr>
          <w:rFonts w:ascii="Arial" w:hAnsi="Arial" w:cs="Arial"/>
          <w:sz w:val="24"/>
          <w:szCs w:val="24"/>
        </w:rPr>
        <w:t>. Maior Média Geral Ponderada nas disciplinas aproveitadas no curso pleiteado;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5.3.</w:t>
      </w:r>
      <w:r w:rsidRPr="006311E5">
        <w:rPr>
          <w:rFonts w:ascii="Arial" w:hAnsi="Arial" w:cs="Arial"/>
          <w:sz w:val="24"/>
          <w:szCs w:val="24"/>
        </w:rPr>
        <w:t xml:space="preserve"> O candidato mais velho.</w:t>
      </w:r>
    </w:p>
    <w:p w:rsidR="00FE2727" w:rsidRPr="006311E5" w:rsidRDefault="00FE2727" w:rsidP="00FE2727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6. DO RESULTADO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lastRenderedPageBreak/>
        <w:t xml:space="preserve">6.1. </w:t>
      </w:r>
      <w:r w:rsidRPr="006311E5">
        <w:rPr>
          <w:rFonts w:ascii="Arial" w:hAnsi="Arial" w:cs="Arial"/>
          <w:sz w:val="24"/>
          <w:szCs w:val="24"/>
        </w:rPr>
        <w:t xml:space="preserve">O resultado para Transferência Externa será divulgando até o dia </w:t>
      </w:r>
      <w:r>
        <w:rPr>
          <w:rFonts w:ascii="Arial" w:hAnsi="Arial" w:cs="Arial"/>
          <w:sz w:val="24"/>
          <w:szCs w:val="24"/>
        </w:rPr>
        <w:t>01</w:t>
      </w:r>
      <w:r w:rsidRPr="006311E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02</w:t>
      </w:r>
      <w:r w:rsidRPr="006311E5">
        <w:rPr>
          <w:rFonts w:ascii="Arial" w:hAnsi="Arial" w:cs="Arial"/>
          <w:sz w:val="24"/>
          <w:szCs w:val="24"/>
        </w:rPr>
        <w:t xml:space="preserve">/2016 à </w:t>
      </w:r>
      <w:r>
        <w:rPr>
          <w:rFonts w:ascii="Arial" w:hAnsi="Arial" w:cs="Arial"/>
          <w:sz w:val="24"/>
          <w:szCs w:val="24"/>
        </w:rPr>
        <w:t>15</w:t>
      </w:r>
      <w:r w:rsidRPr="006311E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02</w:t>
      </w:r>
      <w:r w:rsidRPr="006311E5">
        <w:rPr>
          <w:rFonts w:ascii="Arial" w:hAnsi="Arial" w:cs="Arial"/>
          <w:sz w:val="24"/>
          <w:szCs w:val="24"/>
        </w:rPr>
        <w:t>/2016.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6.2.  </w:t>
      </w:r>
      <w:r w:rsidRPr="006311E5">
        <w:rPr>
          <w:rFonts w:ascii="Arial" w:hAnsi="Arial" w:cs="Arial"/>
          <w:sz w:val="24"/>
          <w:szCs w:val="24"/>
        </w:rPr>
        <w:t>O trâmite do processo assim como o resultado, poderá ser acompanhado pelo candidato</w:t>
      </w:r>
      <w:r>
        <w:rPr>
          <w:rFonts w:ascii="Arial" w:hAnsi="Arial" w:cs="Arial"/>
          <w:sz w:val="24"/>
          <w:szCs w:val="24"/>
        </w:rPr>
        <w:t xml:space="preserve"> na secretaria acadêmica</w:t>
      </w:r>
      <w:r w:rsidRPr="006311E5">
        <w:rPr>
          <w:rFonts w:ascii="Arial" w:hAnsi="Arial" w:cs="Arial"/>
          <w:sz w:val="24"/>
          <w:szCs w:val="24"/>
        </w:rPr>
        <w:t>.</w:t>
      </w:r>
    </w:p>
    <w:p w:rsidR="00FE2727" w:rsidRPr="006311E5" w:rsidRDefault="00FE2727" w:rsidP="00FE2727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 DA MATRÍCULA 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7.1. </w:t>
      </w:r>
      <w:r w:rsidRPr="006311E5">
        <w:rPr>
          <w:rFonts w:ascii="Arial" w:hAnsi="Arial" w:cs="Arial"/>
          <w:sz w:val="24"/>
          <w:szCs w:val="24"/>
        </w:rPr>
        <w:t xml:space="preserve">Os candidatos classificados serão matriculados </w:t>
      </w:r>
      <w:r>
        <w:rPr>
          <w:rFonts w:ascii="Arial" w:hAnsi="Arial" w:cs="Arial"/>
          <w:sz w:val="24"/>
          <w:szCs w:val="24"/>
        </w:rPr>
        <w:t>a partir d</w:t>
      </w:r>
      <w:r w:rsidRPr="006311E5">
        <w:rPr>
          <w:rFonts w:ascii="Arial" w:hAnsi="Arial" w:cs="Arial"/>
          <w:sz w:val="24"/>
          <w:szCs w:val="24"/>
        </w:rPr>
        <w:t xml:space="preserve">o dia </w:t>
      </w:r>
      <w:r>
        <w:rPr>
          <w:rFonts w:ascii="Arial" w:hAnsi="Arial" w:cs="Arial"/>
          <w:sz w:val="24"/>
          <w:szCs w:val="24"/>
        </w:rPr>
        <w:t>01</w:t>
      </w:r>
      <w:r w:rsidRPr="006311E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02</w:t>
      </w:r>
      <w:r w:rsidRPr="006311E5">
        <w:rPr>
          <w:rFonts w:ascii="Arial" w:hAnsi="Arial" w:cs="Arial"/>
          <w:sz w:val="24"/>
          <w:szCs w:val="24"/>
        </w:rPr>
        <w:t>/2016, devendo o pag</w:t>
      </w:r>
      <w:r>
        <w:rPr>
          <w:rFonts w:ascii="Arial" w:hAnsi="Arial" w:cs="Arial"/>
          <w:sz w:val="24"/>
          <w:szCs w:val="24"/>
        </w:rPr>
        <w:t>amento da matricula a partir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</w:t>
      </w:r>
      <w:r w:rsidRPr="006311E5">
        <w:rPr>
          <w:rFonts w:ascii="Arial" w:hAnsi="Arial" w:cs="Arial"/>
          <w:sz w:val="24"/>
          <w:szCs w:val="24"/>
        </w:rPr>
        <w:t xml:space="preserve">o dia </w:t>
      </w:r>
      <w:r>
        <w:rPr>
          <w:rFonts w:ascii="Arial" w:hAnsi="Arial" w:cs="Arial"/>
          <w:sz w:val="24"/>
          <w:szCs w:val="24"/>
        </w:rPr>
        <w:t>15</w:t>
      </w:r>
      <w:r w:rsidRPr="006311E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02</w:t>
      </w:r>
      <w:r w:rsidRPr="006311E5">
        <w:rPr>
          <w:rFonts w:ascii="Arial" w:hAnsi="Arial" w:cs="Arial"/>
          <w:sz w:val="24"/>
          <w:szCs w:val="24"/>
        </w:rPr>
        <w:t>/2016.</w:t>
      </w:r>
    </w:p>
    <w:p w:rsidR="00FE2727" w:rsidRPr="006311E5" w:rsidRDefault="00FE2727" w:rsidP="00FE2727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b/>
          <w:sz w:val="24"/>
          <w:szCs w:val="24"/>
        </w:rPr>
        <w:t>DO PORTADOR DE DIPLOMA</w:t>
      </w:r>
    </w:p>
    <w:p w:rsidR="00FE2727" w:rsidRDefault="00FE2727" w:rsidP="00FE2727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7.2.1. </w:t>
      </w:r>
      <w:r w:rsidRPr="006311E5">
        <w:rPr>
          <w:rFonts w:ascii="Arial" w:hAnsi="Arial" w:cs="Arial"/>
          <w:sz w:val="24"/>
          <w:szCs w:val="24"/>
        </w:rPr>
        <w:t xml:space="preserve">A matrícula </w:t>
      </w:r>
      <w:r>
        <w:rPr>
          <w:rFonts w:ascii="Arial" w:hAnsi="Arial" w:cs="Arial"/>
          <w:sz w:val="24"/>
          <w:szCs w:val="24"/>
        </w:rPr>
        <w:t xml:space="preserve">somente poderá ser efetuada após aprovação do </w:t>
      </w:r>
      <w:proofErr w:type="spellStart"/>
      <w:r>
        <w:rPr>
          <w:rFonts w:ascii="Arial" w:hAnsi="Arial" w:cs="Arial"/>
          <w:sz w:val="24"/>
          <w:szCs w:val="24"/>
        </w:rPr>
        <w:t>condidato</w:t>
      </w:r>
      <w:proofErr w:type="spellEnd"/>
      <w:r>
        <w:rPr>
          <w:rFonts w:ascii="Arial" w:hAnsi="Arial" w:cs="Arial"/>
          <w:sz w:val="24"/>
          <w:szCs w:val="24"/>
        </w:rPr>
        <w:t xml:space="preserve"> nas condições estabelecidas neste edital. A alocação do candidato em um dos períodos do curso dependerá do número de créditos aproveitados, após análise do currículo pelo departamento competente.</w:t>
      </w:r>
    </w:p>
    <w:p w:rsidR="00FE2727" w:rsidRDefault="00FE2727" w:rsidP="00FE27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7.2.2 A confirmação da matricula ocorrerá somente após o pagamento da taxa referente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mesma.</w:t>
      </w:r>
    </w:p>
    <w:p w:rsidR="00FE2727" w:rsidRPr="006311E5" w:rsidRDefault="00FE2727" w:rsidP="00FE27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311E5">
        <w:rPr>
          <w:rFonts w:ascii="Arial" w:hAnsi="Arial" w:cs="Arial"/>
          <w:b/>
          <w:sz w:val="24"/>
          <w:szCs w:val="24"/>
        </w:rPr>
        <w:t>8</w:t>
      </w:r>
      <w:proofErr w:type="gramEnd"/>
      <w:r w:rsidRPr="006311E5">
        <w:rPr>
          <w:rFonts w:ascii="Arial" w:hAnsi="Arial" w:cs="Arial"/>
          <w:b/>
          <w:sz w:val="24"/>
          <w:szCs w:val="24"/>
        </w:rPr>
        <w:t xml:space="preserve"> DAS DISPOSIÇÕES FINAIS 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8.1. </w:t>
      </w:r>
      <w:r w:rsidRPr="006311E5">
        <w:rPr>
          <w:rFonts w:ascii="Arial" w:hAnsi="Arial" w:cs="Arial"/>
          <w:sz w:val="24"/>
          <w:szCs w:val="24"/>
        </w:rPr>
        <w:t>Processo Seletivo, objeto deste Edital, é válido somente para ingresso no segundo semestre de 2016, no curso e horário pleiteados.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311E5">
        <w:rPr>
          <w:rFonts w:ascii="Arial" w:hAnsi="Arial" w:cs="Arial"/>
          <w:b/>
          <w:sz w:val="24"/>
          <w:szCs w:val="24"/>
        </w:rPr>
        <w:t>8.2.</w:t>
      </w:r>
      <w:proofErr w:type="gramEnd"/>
      <w:r w:rsidRPr="006311E5">
        <w:rPr>
          <w:rFonts w:ascii="Arial" w:hAnsi="Arial" w:cs="Arial"/>
          <w:sz w:val="24"/>
          <w:szCs w:val="24"/>
        </w:rPr>
        <w:t>Terá a matrícula cancelada,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em qualquer época ,o candidato que tiver participado do Processo Seletivo ou efetuado matrícula fazendo uso de documentos ou informações  falas,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fraudulentas, eivadas de irregularidades ou outros atos ilícitos.</w:t>
      </w:r>
    </w:p>
    <w:p w:rsidR="00FE2727" w:rsidRPr="006311E5" w:rsidRDefault="00FE2727" w:rsidP="00FE2727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8.3. </w:t>
      </w:r>
      <w:r w:rsidRPr="006311E5">
        <w:rPr>
          <w:rFonts w:ascii="Arial" w:hAnsi="Arial" w:cs="Arial"/>
          <w:sz w:val="24"/>
          <w:szCs w:val="24"/>
        </w:rPr>
        <w:t>Não serão considerados pedidos de revisão na pontuação do candidato e da sua consequente classificação.</w:t>
      </w:r>
    </w:p>
    <w:p w:rsidR="00FE2727" w:rsidRPr="006311E5" w:rsidRDefault="00FE2727" w:rsidP="00FE2727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8.4. </w:t>
      </w:r>
      <w:r w:rsidRPr="006311E5">
        <w:rPr>
          <w:rFonts w:ascii="Arial" w:hAnsi="Arial" w:cs="Arial"/>
          <w:sz w:val="24"/>
          <w:szCs w:val="24"/>
        </w:rPr>
        <w:t xml:space="preserve">Os casos omissos e as situações não previstas no presente Edital serão avaliados </w:t>
      </w:r>
      <w:r>
        <w:rPr>
          <w:rFonts w:ascii="Arial" w:hAnsi="Arial" w:cs="Arial"/>
          <w:sz w:val="24"/>
          <w:szCs w:val="24"/>
        </w:rPr>
        <w:t>pelo CONSEPE</w:t>
      </w:r>
      <w:r w:rsidRPr="006311E5">
        <w:rPr>
          <w:rFonts w:ascii="Arial" w:hAnsi="Arial" w:cs="Arial"/>
          <w:sz w:val="24"/>
          <w:szCs w:val="24"/>
        </w:rPr>
        <w:t>.</w:t>
      </w:r>
    </w:p>
    <w:p w:rsidR="00FE2727" w:rsidRPr="006311E5" w:rsidRDefault="00FE2727" w:rsidP="00FE2727">
      <w:pPr>
        <w:jc w:val="both"/>
        <w:rPr>
          <w:rFonts w:ascii="Arial" w:hAnsi="Arial" w:cs="Arial"/>
          <w:b/>
          <w:sz w:val="24"/>
          <w:szCs w:val="24"/>
        </w:rPr>
      </w:pPr>
    </w:p>
    <w:p w:rsidR="00FE2727" w:rsidRPr="006311E5" w:rsidRDefault="00FE2727" w:rsidP="00FE27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Arapiraca</w:t>
      </w:r>
      <w:r w:rsidRPr="006311E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11</w:t>
      </w:r>
      <w:r w:rsidRPr="006311E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janeiro</w:t>
      </w:r>
      <w:r w:rsidRPr="006311E5">
        <w:rPr>
          <w:rFonts w:ascii="Arial" w:hAnsi="Arial" w:cs="Arial"/>
          <w:b/>
          <w:sz w:val="24"/>
          <w:szCs w:val="24"/>
        </w:rPr>
        <w:t xml:space="preserve"> de 2016</w:t>
      </w:r>
    </w:p>
    <w:p w:rsidR="00FE2727" w:rsidRPr="00DD4BA1" w:rsidRDefault="00FE2727" w:rsidP="00FE2727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2C4365" wp14:editId="29226F8E">
            <wp:simplePos x="0" y="0"/>
            <wp:positionH relativeFrom="column">
              <wp:posOffset>588645</wp:posOffset>
            </wp:positionH>
            <wp:positionV relativeFrom="paragraph">
              <wp:posOffset>149225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727" w:rsidRPr="00DD4BA1" w:rsidRDefault="00FE2727" w:rsidP="00FE2727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E2727" w:rsidRPr="00DD4BA1" w:rsidRDefault="00FE2727" w:rsidP="00FE2727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E2727" w:rsidRPr="00DD4BA1" w:rsidRDefault="00FE2727" w:rsidP="00FE2727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____________________________</w:t>
      </w:r>
    </w:p>
    <w:p w:rsidR="00FE2727" w:rsidRPr="00DD4BA1" w:rsidRDefault="00FE2727" w:rsidP="00FE2727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Carla </w:t>
      </w:r>
      <w:proofErr w:type="spellStart"/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>Emanuele</w:t>
      </w:r>
      <w:proofErr w:type="spellEnd"/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Messias de Farias</w:t>
      </w:r>
    </w:p>
    <w:p w:rsidR="00FE2727" w:rsidRPr="00DD4BA1" w:rsidRDefault="00FE2727" w:rsidP="00FE2727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D4BA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Diretora Geral - FERA </w:t>
      </w:r>
    </w:p>
    <w:p w:rsidR="00FE2727" w:rsidRPr="00DD4BA1" w:rsidRDefault="00FE2727" w:rsidP="00FE2727">
      <w:pPr>
        <w:pStyle w:val="PargrafodaLista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E2727" w:rsidRPr="00DD4BA1" w:rsidRDefault="00FE2727" w:rsidP="00FE272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311957" w:rsidRDefault="00311957"/>
    <w:sectPr w:rsidR="00311957" w:rsidSect="008F2CC7">
      <w:headerReference w:type="default" r:id="rId9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0E" w:rsidRDefault="00A9460E">
      <w:r>
        <w:separator/>
      </w:r>
    </w:p>
  </w:endnote>
  <w:endnote w:type="continuationSeparator" w:id="0">
    <w:p w:rsidR="00A9460E" w:rsidRDefault="00A9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0E" w:rsidRDefault="00A9460E">
      <w:r>
        <w:separator/>
      </w:r>
    </w:p>
  </w:footnote>
  <w:footnote w:type="continuationSeparator" w:id="0">
    <w:p w:rsidR="00A9460E" w:rsidRDefault="00A9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7" w:rsidRPr="008261DB" w:rsidRDefault="00A9460E" w:rsidP="008F2CC7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49" type="#_x0000_t75" style="position:absolute;left:0;text-align:left;margin-left:0;margin-top:0;width:425.05pt;height:382.3pt;z-index:-251655168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50" type="#_x0000_t75" style="position:absolute;left:0;text-align:left;margin-left:-42.4pt;margin-top:-15.3pt;width:90.2pt;height:103.95pt;z-index:-251654144">
          <v:imagedata r:id="rId2" o:title=""/>
        </v:shape>
        <o:OLEObject Type="Embed" ProgID="CorelDRAW.Graphic.13" ShapeID="_x0000_s2050" DrawAspect="Content" ObjectID="_1532268673" r:id="rId3"/>
      </w:pict>
    </w:r>
    <w:r w:rsidR="00FE2727" w:rsidRPr="008261DB">
      <w:rPr>
        <w:rFonts w:ascii="Arial" w:hAnsi="Arial" w:cs="Arial"/>
        <w:b/>
        <w:color w:val="0000FF"/>
      </w:rPr>
      <w:t>SOCIEDADE DE ENSINO SUPERIOR DO AGRESTE LTDA - SOESA</w:t>
    </w:r>
  </w:p>
  <w:p w:rsidR="008F2CC7" w:rsidRPr="002A3A19" w:rsidRDefault="00FE2727" w:rsidP="008F2CC7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8F2CC7" w:rsidRPr="00C87DC0" w:rsidRDefault="00FE2727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8F2CC7" w:rsidRPr="00C87DC0" w:rsidRDefault="00FE2727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8F2CC7" w:rsidRPr="00C87DC0" w:rsidRDefault="00FE2727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="Calibr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="Calibri" w:hAnsi="Arial" w:cs="Arial"/>
        <w:bCs/>
        <w:sz w:val="18"/>
        <w:szCs w:val="18"/>
        <w:lang w:eastAsia="en-US"/>
      </w:rPr>
      <w:t>122. Publicada no DOU em 15/03/2013.</w:t>
    </w:r>
  </w:p>
  <w:p w:rsidR="008F2CC7" w:rsidRDefault="00FE2727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8F2CC7" w:rsidRPr="00C87DC0" w:rsidRDefault="00FE2727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 xml:space="preserve"> Publicada no DOU em 27/11/2014</w:t>
    </w:r>
  </w:p>
  <w:p w:rsidR="008F2CC7" w:rsidRPr="00C87DC0" w:rsidRDefault="00FE2727" w:rsidP="008F2CC7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8F2CC7" w:rsidRPr="00C87DC0" w:rsidRDefault="00FE2727" w:rsidP="008F2CC7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(82)3522-3445 -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8F2CC7" w:rsidRDefault="00FE2727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173613" w:rsidRPr="008F2CC7" w:rsidRDefault="00FE2727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D2956E8" wp14:editId="35F80B1A">
              <wp:simplePos x="0" y="0"/>
              <wp:positionH relativeFrom="column">
                <wp:posOffset>-165735</wp:posOffset>
              </wp:positionH>
              <wp:positionV relativeFrom="paragraph">
                <wp:posOffset>20954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7CEB200" wp14:editId="1F8F5D67">
              <wp:simplePos x="0" y="0"/>
              <wp:positionH relativeFrom="column">
                <wp:posOffset>-165735</wp:posOffset>
              </wp:positionH>
              <wp:positionV relativeFrom="paragraph">
                <wp:posOffset>76199</wp:posOffset>
              </wp:positionV>
              <wp:extent cx="5951220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WpGwIAADI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B+59ak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6906"/>
    <w:multiLevelType w:val="hybridMultilevel"/>
    <w:tmpl w:val="4B7A0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06843"/>
    <w:multiLevelType w:val="multilevel"/>
    <w:tmpl w:val="248099D4"/>
    <w:lvl w:ilvl="0">
      <w:start w:val="1"/>
      <w:numFmt w:val="decimal"/>
      <w:lvlText w:val="%1"/>
      <w:lvlJc w:val="left"/>
      <w:pPr>
        <w:ind w:left="510" w:hanging="510"/>
      </w:pPr>
      <w:rPr>
        <w:rFonts w:ascii="Verdana,Bold" w:hAnsi="Verdana,Bold" w:cs="Verdana,Bold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Verdana,Bold" w:hAnsi="Verdana,Bold" w:cs="Verdana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,Bold" w:hAnsi="Verdana,Bold" w:cs="Verdana,Bol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,Bold" w:hAnsi="Verdana,Bold" w:cs="Verdana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,Bold" w:hAnsi="Verdana,Bold" w:cs="Verdana,Bol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,Bold" w:hAnsi="Verdana,Bold" w:cs="Verdana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,Bold" w:hAnsi="Verdana,Bold" w:cs="Verdana,Bold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,Bold" w:hAnsi="Verdana,Bold" w:cs="Verdana,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,Bold" w:hAnsi="Verdana,Bold" w:cs="Verdana,Bold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7"/>
    <w:rsid w:val="000C7B66"/>
    <w:rsid w:val="00311957"/>
    <w:rsid w:val="00A9460E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E27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E27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2727"/>
    <w:pPr>
      <w:ind w:left="720"/>
      <w:contextualSpacing/>
    </w:pPr>
  </w:style>
  <w:style w:type="character" w:styleId="Hyperlink">
    <w:name w:val="Hyperlink"/>
    <w:rsid w:val="00FE2727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E27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E27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2727"/>
    <w:pPr>
      <w:ind w:left="720"/>
      <w:contextualSpacing/>
    </w:pPr>
  </w:style>
  <w:style w:type="character" w:styleId="Hyperlink">
    <w:name w:val="Hyperlink"/>
    <w:rsid w:val="00FE2727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2</cp:revision>
  <dcterms:created xsi:type="dcterms:W3CDTF">2016-08-09T20:14:00Z</dcterms:created>
  <dcterms:modified xsi:type="dcterms:W3CDTF">2016-08-09T20:24:00Z</dcterms:modified>
</cp:coreProperties>
</file>